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81D66">
      <w:pPr>
        <w:pStyle w:val="2"/>
        <w:rPr>
          <w:rFonts w:hint="eastAsia"/>
          <w:lang w:val="en-US" w:eastAsia="zh-CN"/>
        </w:rPr>
      </w:pPr>
      <w:bookmarkStart w:id="0" w:name="_GoBack"/>
      <w:bookmarkEnd w:id="0"/>
    </w:p>
    <w:p w14:paraId="2E7B39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position w:val="0"/>
          <w:sz w:val="44"/>
          <w:szCs w:val="44"/>
          <w:lang w:val="en-US" w:eastAsia="zh-CN"/>
        </w:rPr>
      </w:pPr>
      <w:r>
        <w:rPr>
          <w:rFonts w:hint="eastAsia" w:ascii="宋体" w:hAnsi="宋体" w:eastAsia="宋体" w:cs="宋体"/>
          <w:b/>
          <w:bCs/>
          <w:position w:val="0"/>
          <w:sz w:val="44"/>
          <w:szCs w:val="44"/>
          <w:lang w:val="en-US" w:eastAsia="zh-CN"/>
        </w:rPr>
        <w:t>永泰县客货邮融合发展巩固提升工作实施方案（征求意见稿）</w:t>
      </w:r>
    </w:p>
    <w:p w14:paraId="4480F0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p>
    <w:p w14:paraId="30BED8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为全面贯彻党的二十大和二十届二中、三中、四中全会精神及习近平总书记关于“四好农村路”的重要指示精神，落实福建省交通运输厅关于农村客货邮融合发展的最新部署，依据《福建省农村客货邮融合发展运营奖励资金实施细则》《福建省农村客货邮融合发展建设及运营服务指南（试行）》等文件要求，学习借鉴其他县区先进经验做法，结合永泰县客货邮融合运行实际，对</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position w:val="0"/>
          <w:sz w:val="32"/>
          <w:szCs w:val="32"/>
          <w:lang w:val="en-US" w:eastAsia="zh-CN"/>
        </w:rPr>
        <w:t>永泰县客货邮融合发展巩固提升工作方案</w:t>
      </w:r>
      <w:r>
        <w:rPr>
          <w:rFonts w:hint="eastAsia" w:ascii="仿宋_GB2312" w:hAnsi="仿宋_GB2312" w:eastAsia="仿宋_GB2312" w:cs="仿宋_GB2312"/>
          <w:b w:val="0"/>
          <w:bCs w:val="0"/>
          <w:color w:val="auto"/>
          <w:spacing w:val="0"/>
          <w:sz w:val="32"/>
          <w:szCs w:val="32"/>
          <w:lang w:eastAsia="zh-CN"/>
        </w:rPr>
        <w:t>》和《</w:t>
      </w:r>
      <w:r>
        <w:rPr>
          <w:rFonts w:hint="eastAsia" w:ascii="仿宋_GB2312" w:hAnsi="仿宋_GB2312" w:eastAsia="仿宋_GB2312" w:cs="仿宋_GB2312"/>
          <w:b w:val="0"/>
          <w:bCs w:val="0"/>
          <w:color w:val="auto"/>
          <w:sz w:val="32"/>
          <w:szCs w:val="32"/>
          <w:lang w:eastAsia="zh-CN"/>
        </w:rPr>
        <w:t>永泰县客货邮融合发展运营资金分配方案</w:t>
      </w:r>
      <w:r>
        <w:rPr>
          <w:rFonts w:hint="eastAsia" w:ascii="仿宋_GB2312" w:hAnsi="仿宋_GB2312" w:eastAsia="仿宋_GB2312" w:cs="仿宋_GB2312"/>
          <w:b w:val="0"/>
          <w:bCs w:val="0"/>
          <w:color w:val="auto"/>
          <w:spacing w:val="0"/>
          <w:sz w:val="32"/>
          <w:szCs w:val="32"/>
          <w:lang w:eastAsia="zh-CN"/>
        </w:rPr>
        <w:t>》进行修订。</w:t>
      </w:r>
    </w:p>
    <w:p w14:paraId="7B8CED3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一、指导思想</w:t>
      </w:r>
    </w:p>
    <w:p w14:paraId="51893B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以习近平新时代中国特色社会主义思想为指导，深入贯彻党的二十大和二十届二中、三中、四中全会精神，坚决落实省委、省政府决策部署，坚持以人民为中心，践行“以路促发展，为党聚民心”理念，深化农村客货邮在运行机制、基础设施、运输线路、运营信息等领域的共建共享，强化资源统筹整合，培育发展新动能，加快构建集约高效、可持续的农村运输服务体系，为城乡融合发展和乡村振兴战略实施提供坚实支撑。</w:t>
      </w:r>
    </w:p>
    <w:p w14:paraId="0D8C34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二、基本情况</w:t>
      </w:r>
    </w:p>
    <w:p w14:paraId="42EB2659">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永泰县地处福州市西南部，总面积2230平方千米，辖21个乡镇、255个建制村。全县已通过公交、农村客运及预约响应等方式实现村村通客车，现有农村客运班线6条，覆盖55个建制村；公交线路17条，覆盖110个建制村。全县设县级快递共配中心2个，整合三通一达、极兔、邮政等多家快递企业。</w:t>
      </w:r>
    </w:p>
    <w:p w14:paraId="6B594BF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三、工作目标</w:t>
      </w:r>
    </w:p>
    <w:p w14:paraId="4BF5B2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总体目标：构建“一点多能、一网多用、功能集约、便利高效”的农村运输服务新模式，深化客货邮运行机制、基础设施、运输线路及信息共享，在2025年实现农村客货邮服务100%覆盖的基础上，进一步优化运营模式，保障工作顺畅可持续。</w:t>
      </w:r>
    </w:p>
    <w:p w14:paraId="53CEC421">
      <w:pPr>
        <w:pStyle w:val="2"/>
        <w:numPr>
          <w:ilvl w:val="-1"/>
          <w:numId w:val="0"/>
        </w:numPr>
        <w:ind w:firstLine="640" w:firstLineChars="20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四、实施主体</w:t>
      </w:r>
    </w:p>
    <w:p w14:paraId="30495ADD">
      <w:pPr>
        <w:pStyle w:val="2"/>
        <w:numPr>
          <w:ilvl w:val="-1"/>
          <w:numId w:val="0"/>
        </w:numPr>
        <w:ind w:firstLine="640" w:firstLineChars="200"/>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为便于融合工作的有效衔接和运营管理，由客运企业负责客货邮融合工作的日常管理，包括村级服务点运营、</w:t>
      </w:r>
      <w:r>
        <w:rPr>
          <w:rFonts w:hint="eastAsia" w:ascii="仿宋_GB2312" w:hAnsi="仿宋_GB2312" w:eastAsia="仿宋_GB2312" w:cs="仿宋_GB2312"/>
          <w:b w:val="0"/>
          <w:bCs w:val="0"/>
          <w:color w:val="auto"/>
          <w:kern w:val="2"/>
          <w:sz w:val="32"/>
          <w:szCs w:val="32"/>
          <w:lang w:val="en-US" w:eastAsia="zh-CN" w:bidi="ar-SA"/>
        </w:rPr>
        <w:t>设备维护、</w:t>
      </w:r>
      <w:r>
        <w:rPr>
          <w:rFonts w:hint="eastAsia" w:ascii="仿宋_GB2312" w:hAnsi="仿宋_GB2312" w:eastAsia="仿宋_GB2312" w:cs="仿宋_GB2312"/>
          <w:b w:val="0"/>
          <w:bCs w:val="0"/>
          <w:color w:val="auto"/>
          <w:sz w:val="32"/>
          <w:szCs w:val="32"/>
          <w:lang w:val="en-US" w:eastAsia="zh-CN"/>
        </w:rPr>
        <w:t>线路运营、车辆管理、预警处置等。县交通运输局指导</w:t>
      </w:r>
      <w:r>
        <w:rPr>
          <w:rFonts w:hint="eastAsia" w:ascii="仿宋_GB2312" w:hAnsi="仿宋_GB2312" w:eastAsia="仿宋_GB2312" w:cs="仿宋_GB2312"/>
          <w:color w:val="auto"/>
          <w:kern w:val="2"/>
          <w:sz w:val="32"/>
          <w:szCs w:val="32"/>
          <w:lang w:val="en-US" w:eastAsia="zh-CN"/>
        </w:rPr>
        <w:t>客运企业</w:t>
      </w:r>
      <w:r>
        <w:rPr>
          <w:rFonts w:hint="eastAsia" w:ascii="仿宋_GB2312" w:hAnsi="仿宋_GB2312" w:eastAsia="仿宋_GB2312" w:cs="仿宋_GB2312"/>
          <w:b w:val="0"/>
          <w:bCs w:val="0"/>
          <w:color w:val="auto"/>
          <w:sz w:val="32"/>
          <w:szCs w:val="32"/>
          <w:lang w:val="en-US" w:eastAsia="zh-CN"/>
        </w:rPr>
        <w:t>探索开展“客货邮+”新模式，</w:t>
      </w:r>
      <w:r>
        <w:rPr>
          <w:rFonts w:hint="eastAsia" w:ascii="仿宋_GB2312" w:hAnsi="仿宋_GB2312" w:eastAsia="仿宋_GB2312" w:cs="仿宋_GB2312"/>
          <w:color w:val="auto"/>
          <w:kern w:val="2"/>
          <w:sz w:val="32"/>
          <w:szCs w:val="32"/>
          <w:lang w:val="en-US" w:eastAsia="zh-CN"/>
        </w:rPr>
        <w:t>与</w:t>
      </w:r>
      <w:r>
        <w:rPr>
          <w:rFonts w:hint="eastAsia" w:ascii="仿宋_GB2312" w:hAnsi="仿宋_GB2312" w:eastAsia="仿宋_GB2312" w:cs="仿宋_GB2312"/>
          <w:b w:val="0"/>
          <w:bCs w:val="0"/>
          <w:color w:val="auto"/>
          <w:kern w:val="2"/>
          <w:sz w:val="32"/>
          <w:szCs w:val="32"/>
          <w:lang w:val="en-US" w:eastAsia="zh-CN" w:bidi="ar-SA"/>
        </w:rPr>
        <w:t>邮政快递</w:t>
      </w:r>
      <w:r>
        <w:rPr>
          <w:rFonts w:hint="eastAsia" w:ascii="仿宋_GB2312" w:hAnsi="仿宋_GB2312" w:eastAsia="仿宋_GB2312" w:cs="仿宋_GB2312"/>
          <w:color w:val="auto"/>
          <w:kern w:val="2"/>
          <w:sz w:val="32"/>
          <w:szCs w:val="32"/>
          <w:lang w:val="en-US" w:eastAsia="zh-CN"/>
        </w:rPr>
        <w:t>企业开展合作，共同推进客货邮融合发展落地生效。</w:t>
      </w:r>
    </w:p>
    <w:p w14:paraId="37385E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五、工作任务</w:t>
      </w:r>
    </w:p>
    <w:p w14:paraId="0046E8B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（一）优化客货邮融合模式</w:t>
      </w:r>
    </w:p>
    <w:p w14:paraId="51B10592">
      <w:pPr>
        <w:numPr>
          <w:ilvl w:val="0"/>
          <w:numId w:val="0"/>
        </w:numPr>
        <w:spacing w:line="600" w:lineRule="exact"/>
        <w:ind w:firstLine="640" w:firstLineChars="200"/>
        <w:jc w:val="both"/>
        <w:rPr>
          <w:rFonts w:hint="eastAsia"/>
          <w:lang w:val="en-US" w:eastAsia="zh-CN"/>
        </w:rPr>
      </w:pPr>
      <w:r>
        <w:rPr>
          <w:rFonts w:hint="eastAsia" w:ascii="仿宋_GB2312" w:hAnsi="仿宋_GB2312" w:eastAsia="仿宋_GB2312" w:cs="仿宋_GB2312"/>
          <w:b w:val="0"/>
          <w:bCs w:val="0"/>
          <w:color w:val="auto"/>
          <w:kern w:val="2"/>
          <w:sz w:val="32"/>
          <w:szCs w:val="32"/>
          <w:lang w:val="en-US" w:eastAsia="zh-CN" w:bidi="ar-SA"/>
        </w:rPr>
        <w:t>根据省级创建指南的标准，科学布局融合网点与线路，配置融合运输车辆，将“预约响应”式通车的行政村调整为常态化通客车，巩固村村通客车成果，同时兼顾“快递进村”和“农产品进城”双向流通需求，促进各相关主体降本增效。2025年完成建设村级客货邮服务点53个，免设点100个，快递自主进村点102个；开通客货邮融合线路19条，投入客货邮融合车辆5辆。在此基础上提升运营频次，根据上级工作要求，逐步新增客货邮融合车辆，将客货邮融合乡镇每2天1次的运行频次提升为每天运营。（责任单位：县交通运输局、各乡镇人民政府、客运企业、邮政快递企业）</w:t>
      </w:r>
    </w:p>
    <w:p w14:paraId="788F5AA1">
      <w:pPr>
        <w:numPr>
          <w:ilvl w:val="0"/>
          <w:numId w:val="0"/>
        </w:numPr>
        <w:spacing w:line="600" w:lineRule="exact"/>
        <w:ind w:left="0" w:leftChars="0" w:firstLine="640" w:firstLineChars="200"/>
        <w:jc w:val="left"/>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（二）提升村级服务点覆盖率</w:t>
      </w:r>
    </w:p>
    <w:p w14:paraId="4CBD345B">
      <w:pPr>
        <w:ind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村级服务点建设。依托村部、小卖部、购销点等现有场所设立村级客货邮服务点，按照客货邮工作指南相关规范标准，为村级服务点配置摄像头、高拍仪、货架等设备，2025年完成53个村级服务点建设。2026年，根据上级工作要求，针对件量少的建制村，设置智能快递柜，实现快递自助存取。通过配套增值服务方式导入邮政快递等农村物流业务，全面提升村级客货邮融合服务点覆盖率，完善末端物流网络，实现邮政快递寄递以及农资、农产品、电商商品等代销代购及相关便民服务功能。（责任单位：县交通运输局、各乡镇人民政府、客运企业、邮政快递企业）</w:t>
      </w:r>
    </w:p>
    <w:p w14:paraId="70A78FE5">
      <w:pPr>
        <w:widowControl/>
        <w:numPr>
          <w:ilvl w:val="-1"/>
          <w:numId w:val="0"/>
        </w:numPr>
        <w:spacing w:line="240" w:lineRule="auto"/>
        <w:ind w:firstLine="640" w:firstLineChars="200"/>
        <w:jc w:val="left"/>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2.村级服务点运营管理。按照客货邮工作指南相关规范开展运营，保障站点持续运营。对省平台预警的摄像头设备异常、快递出入库异常、融合线路运营异常问题实现动态清零。</w:t>
      </w:r>
      <w:r>
        <w:rPr>
          <w:rFonts w:hint="eastAsia" w:ascii="仿宋_GB2312" w:hAnsi="仿宋_GB2312" w:eastAsia="仿宋_GB2312" w:cs="仿宋_GB2312"/>
          <w:b w:val="0"/>
          <w:bCs w:val="0"/>
          <w:color w:val="auto"/>
          <w:kern w:val="2"/>
          <w:sz w:val="32"/>
          <w:szCs w:val="32"/>
          <w:lang w:val="en-US" w:eastAsia="zh-CN" w:bidi="ar-SA"/>
        </w:rPr>
        <w:t>（责任单位：县交通运输局、客运企业）</w:t>
      </w:r>
    </w:p>
    <w:p w14:paraId="3C19EB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（三）优化资金扶持政策</w:t>
      </w:r>
    </w:p>
    <w:p w14:paraId="3921D68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资金来源。（1）一次性资金补助。2024年省级农村客货邮融合发展创建奖励资金100万元。（2）运营补助资金。一是市级补助资金每年10万元。二是省级运营补助资金。根据《福建省农村客货邮融合发展运营奖励资金实施细则》（闽交运〔2025〕11 号），省级运营补助资金以“以奖代补”方式切块下达。（3）县级配套资金。（责任单位：县交通运输局）</w:t>
      </w:r>
    </w:p>
    <w:p w14:paraId="01BAC1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资金补助。为保障客货邮融合可持续发展，对支持农村客货邮融合发展所需的基础设施建设、融合线路及站点运营、车辆及装备购置、信息平台以及其他客货邮融合相关支出提供资金扶持。（责任单位：县交通运输局）</w:t>
      </w:r>
    </w:p>
    <w:p w14:paraId="618F6A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FF000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村级服务点标准化建设补助。根据客货邮融合服务点的建设标准要求，在客货邮融合点配备货架、标识标牌、监控、出入库设备，每个村级服务点参照5000元的标准予以保障。设置智能快递柜的，每个村级服务点的智能快递柜</w:t>
      </w:r>
      <w:r>
        <w:rPr>
          <w:rFonts w:hint="eastAsia" w:ascii="仿宋_GB2312" w:hAnsi="仿宋_GB2312" w:eastAsia="仿宋_GB2312" w:cs="仿宋_GB2312"/>
          <w:b w:val="0"/>
          <w:bCs w:val="0"/>
          <w:color w:val="auto"/>
          <w:sz w:val="32"/>
          <w:szCs w:val="32"/>
          <w:lang w:val="en-US" w:eastAsia="zh-CN"/>
        </w:rPr>
        <w:t>费用以8000元/个</w:t>
      </w:r>
      <w:r>
        <w:rPr>
          <w:rFonts w:hint="eastAsia" w:ascii="仿宋_GB2312" w:hAnsi="仿宋_GB2312" w:eastAsia="仿宋_GB2312" w:cs="仿宋_GB2312"/>
          <w:b w:val="0"/>
          <w:bCs w:val="0"/>
          <w:color w:val="auto"/>
          <w:kern w:val="2"/>
          <w:sz w:val="32"/>
          <w:szCs w:val="32"/>
          <w:lang w:val="en-US" w:eastAsia="zh-CN" w:bidi="ar-SA"/>
        </w:rPr>
        <w:t>为上限给予保障。以上建设补助金额以实际为准，建设后期运营维护相关费用另行据实结算。</w:t>
      </w:r>
    </w:p>
    <w:p w14:paraId="4F34D8D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xml:space="preserve">（2）村级服务点运营补助。持续运营每达一个季度享受500元补助，未达持续运营周期则不享受补助。根据进村快递件量，按照0.2元/件的标准，给予村级服务点快递进村分拣补助。      </w:t>
      </w:r>
    </w:p>
    <w:p w14:paraId="2A19A3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快递管理补贴。为提高邮政快递、“三通一达”、极兔等主流快递品牌进村积极性，通过客货邮融合车辆进村的快件，按照0.2元/件标准给予邮政企业和我县的快递品牌加盟商补助，对实现快递进村的邮政企业和我县的快递品牌加盟商按照5000元/季度的标准给予补助，用于进村快递入库、分拣、管理、数据收集统计分析、投诉处置等事务。</w:t>
      </w:r>
    </w:p>
    <w:p w14:paraId="4F9285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车辆补助。综合考量客货邮融合运输专车的人员招聘、管理、车辆维修费、保险费等费用，对新增并持续运营的客货邮融合车辆，5座车辆按照450元/车/天的标准给予补助，7座及以上车辆按照630元/车/天的标准给予补助，最终补助价格以实际运营天数为准;对利用现有的农村客运或公交开展客货邮融合运输，年度持续经营的，给予每部车3.5万元/年的补助。</w:t>
      </w:r>
    </w:p>
    <w:p w14:paraId="5D082D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（5）乡镇客货邮协管员补贴。乡镇配合县交通运输局开展工作，统筹协调相关人员对运营情况进行监督，给予200元/月的补贴。</w:t>
      </w:r>
    </w:p>
    <w:p w14:paraId="7FCA8E63">
      <w:pPr>
        <w:pStyle w:val="2"/>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（6）开展客货邮运营效果评价。客运企业作为我县客货邮融合发展实施主体，运营补助金额与每月上级考核或通报文件相挂钩。运营补助金额以</w:t>
      </w:r>
      <w:r>
        <w:rPr>
          <w:rFonts w:hint="eastAsia" w:ascii="仿宋_GB2312" w:hAnsi="仿宋_GB2312" w:eastAsia="仿宋_GB2312" w:cs="仿宋_GB2312"/>
          <w:b w:val="0"/>
          <w:bCs w:val="0"/>
          <w:color w:val="auto"/>
          <w:sz w:val="32"/>
          <w:szCs w:val="32"/>
          <w:lang w:val="en-US" w:eastAsia="zh-CN"/>
        </w:rPr>
        <w:t>企业实际投入运营的车辆可享受的补助总金额为基数，根据省客货邮</w:t>
      </w:r>
      <w:r>
        <w:rPr>
          <w:rFonts w:hint="eastAsia" w:ascii="仿宋_GB2312" w:hAnsi="仿宋_GB2312" w:eastAsia="仿宋_GB2312" w:cs="仿宋_GB2312"/>
          <w:b w:val="0"/>
          <w:bCs w:val="0"/>
          <w:sz w:val="32"/>
          <w:szCs w:val="32"/>
          <w:lang w:val="en-US" w:eastAsia="zh-CN"/>
        </w:rPr>
        <w:t>平台得分情况进行核算。</w:t>
      </w:r>
    </w:p>
    <w:p w14:paraId="42F818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（7）其他</w:t>
      </w:r>
    </w:p>
    <w:p w14:paraId="3DF864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涉及客货邮融合工作的其他工作经费如宣传、培训、会议等费用据实结算。</w:t>
      </w:r>
    </w:p>
    <w:p w14:paraId="02EEBC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因服务范围扩大、村级服务点增设、运输车辆及设备增加等产生的费用，则统一参照本方案已明确规定的资金补助标准及既定的来源渠道执行。</w:t>
      </w:r>
    </w:p>
    <w:p w14:paraId="67BD8333">
      <w:pPr>
        <w:pStyle w:val="13"/>
        <w:numPr>
          <w:ilvl w:val="-1"/>
          <w:numId w:val="0"/>
        </w:numPr>
        <w:ind w:firstLine="68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六、责任分工</w:t>
      </w:r>
    </w:p>
    <w:p w14:paraId="11F9FD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（一）县交通运输局：</w:t>
      </w:r>
      <w:r>
        <w:rPr>
          <w:rFonts w:hint="eastAsia" w:ascii="仿宋_GB2312" w:hAnsi="仿宋_GB2312" w:eastAsia="仿宋_GB2312" w:cs="仿宋_GB2312"/>
          <w:b w:val="0"/>
          <w:bCs w:val="0"/>
          <w:color w:val="auto"/>
          <w:kern w:val="2"/>
          <w:sz w:val="32"/>
          <w:szCs w:val="32"/>
          <w:lang w:val="en-US" w:eastAsia="zh-CN" w:bidi="ar-SA"/>
        </w:rPr>
        <w:t>负责统筹协调客货邮融合发展工作，制定客货邮融合发展的工作方案，完善资金扶持政策，建立健全管理和督查考核机制。</w:t>
      </w:r>
    </w:p>
    <w:p w14:paraId="724369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（二）乡镇人民政府：</w:t>
      </w:r>
      <w:r>
        <w:rPr>
          <w:rFonts w:hint="eastAsia" w:ascii="仿宋_GB2312" w:hAnsi="仿宋_GB2312" w:eastAsia="仿宋_GB2312" w:cs="仿宋_GB2312"/>
          <w:b w:val="0"/>
          <w:bCs w:val="0"/>
          <w:color w:val="auto"/>
          <w:kern w:val="2"/>
          <w:sz w:val="32"/>
          <w:szCs w:val="32"/>
          <w:lang w:val="en-US" w:eastAsia="zh-CN" w:bidi="ar-SA"/>
        </w:rPr>
        <w:t>协助县交通运输局开展客货邮相关工作。统筹协调相关人员对辖区的客货邮融合车辆的运行情况、快递公司的分拣情况以及村级服务点运营情况进行监督。</w:t>
      </w:r>
    </w:p>
    <w:p w14:paraId="47EDEC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（三）客运企业：</w:t>
      </w:r>
      <w:r>
        <w:rPr>
          <w:rFonts w:hint="eastAsia" w:ascii="仿宋_GB2312" w:hAnsi="仿宋_GB2312" w:eastAsia="仿宋_GB2312" w:cs="仿宋_GB2312"/>
          <w:b w:val="0"/>
          <w:bCs w:val="0"/>
          <w:color w:val="auto"/>
          <w:sz w:val="32"/>
          <w:szCs w:val="32"/>
          <w:lang w:val="en-US" w:eastAsia="zh-CN"/>
        </w:rPr>
        <w:t>负责客货邮融合工作的日常管理，包括村级服务点运营、</w:t>
      </w:r>
      <w:r>
        <w:rPr>
          <w:rFonts w:hint="eastAsia" w:ascii="仿宋_GB2312" w:hAnsi="仿宋_GB2312" w:eastAsia="仿宋_GB2312" w:cs="仿宋_GB2312"/>
          <w:b w:val="0"/>
          <w:bCs w:val="0"/>
          <w:color w:val="auto"/>
          <w:kern w:val="2"/>
          <w:sz w:val="32"/>
          <w:szCs w:val="32"/>
          <w:lang w:val="en-US" w:eastAsia="zh-CN" w:bidi="ar-SA"/>
        </w:rPr>
        <w:t>设备维护、</w:t>
      </w:r>
      <w:r>
        <w:rPr>
          <w:rFonts w:hint="eastAsia" w:ascii="仿宋_GB2312" w:hAnsi="仿宋_GB2312" w:eastAsia="仿宋_GB2312" w:cs="仿宋_GB2312"/>
          <w:b w:val="0"/>
          <w:bCs w:val="0"/>
          <w:color w:val="auto"/>
          <w:sz w:val="32"/>
          <w:szCs w:val="32"/>
          <w:lang w:val="en-US" w:eastAsia="zh-CN"/>
        </w:rPr>
        <w:t>线路运营、车辆管理、预警处置等。</w:t>
      </w:r>
      <w:r>
        <w:rPr>
          <w:rFonts w:hint="eastAsia" w:ascii="仿宋_GB2312" w:hAnsi="仿宋_GB2312" w:eastAsia="仿宋_GB2312" w:cs="仿宋_GB2312"/>
          <w:b w:val="0"/>
          <w:bCs w:val="0"/>
          <w:color w:val="auto"/>
          <w:kern w:val="2"/>
          <w:sz w:val="32"/>
          <w:szCs w:val="32"/>
          <w:lang w:val="en-US" w:eastAsia="zh-CN" w:bidi="ar-SA"/>
        </w:rPr>
        <w:t>负责提供客货邮融合车辆，安排驾驶员按规定频次运行客货邮融合线路。负责驾驶员招聘、日常管理和相关客运业务培训，做好车辆日常安全管理。</w:t>
      </w:r>
    </w:p>
    <w:p w14:paraId="651B73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（四）邮政快递企业：</w:t>
      </w:r>
      <w:r>
        <w:rPr>
          <w:rFonts w:hint="eastAsia" w:ascii="仿宋_GB2312" w:hAnsi="仿宋_GB2312" w:eastAsia="仿宋_GB2312" w:cs="仿宋_GB2312"/>
          <w:b w:val="0"/>
          <w:bCs w:val="0"/>
          <w:color w:val="auto"/>
          <w:kern w:val="2"/>
          <w:sz w:val="32"/>
          <w:szCs w:val="32"/>
          <w:lang w:val="en-US" w:eastAsia="zh-CN" w:bidi="ar-SA"/>
        </w:rPr>
        <w:t>负责进村邮件快递分拣、整合、统一装包、投诉处置等工作，与客货邮融合运输驾驶员完成快递交接。负责对村级服务点负责人和融合驾驶员定期开展邮政快递业务培训。</w:t>
      </w:r>
    </w:p>
    <w:p w14:paraId="684DCC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（五）村级服务点：</w:t>
      </w:r>
      <w:r>
        <w:rPr>
          <w:rFonts w:hint="eastAsia" w:ascii="仿宋_GB2312" w:hAnsi="仿宋_GB2312" w:eastAsia="仿宋_GB2312" w:cs="仿宋_GB2312"/>
          <w:b w:val="0"/>
          <w:bCs w:val="0"/>
          <w:color w:val="auto"/>
          <w:kern w:val="2"/>
          <w:sz w:val="32"/>
          <w:szCs w:val="32"/>
          <w:lang w:val="en-US" w:eastAsia="zh-CN" w:bidi="ar-SA"/>
        </w:rPr>
        <w:t>按规定完成快递出入库、快递管理和数据录入。保障配套设备安全管理及正常使用并参加相关快递业务培训。</w:t>
      </w:r>
    </w:p>
    <w:p w14:paraId="126767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（六）驾驶员：</w:t>
      </w:r>
      <w:r>
        <w:rPr>
          <w:rFonts w:hint="eastAsia" w:ascii="仿宋_GB2312" w:hAnsi="仿宋_GB2312" w:eastAsia="仿宋_GB2312" w:cs="仿宋_GB2312"/>
          <w:b w:val="0"/>
          <w:bCs w:val="0"/>
          <w:color w:val="auto"/>
          <w:kern w:val="2"/>
          <w:sz w:val="32"/>
          <w:szCs w:val="32"/>
          <w:lang w:val="en-US" w:eastAsia="zh-CN" w:bidi="ar-SA"/>
        </w:rPr>
        <w:t>负责按照指定线路运行车辆，随带配送快递进村，与村级服务点完成快递交接和数据录入。定期参与相关业务培训，做好车辆日常保养、车容车貌管理。</w:t>
      </w:r>
    </w:p>
    <w:p w14:paraId="68B3BA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七、工作要求</w:t>
      </w:r>
    </w:p>
    <w:p w14:paraId="57BBDB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（一）提高思想认识。</w:t>
      </w:r>
      <w:r>
        <w:rPr>
          <w:rFonts w:hint="eastAsia" w:ascii="仿宋_GB2312" w:hAnsi="仿宋_GB2312" w:eastAsia="仿宋_GB2312" w:cs="仿宋_GB2312"/>
          <w:b w:val="0"/>
          <w:bCs w:val="0"/>
          <w:color w:val="auto"/>
          <w:kern w:val="2"/>
          <w:sz w:val="32"/>
          <w:szCs w:val="32"/>
          <w:lang w:val="en-US" w:eastAsia="zh-CN" w:bidi="ar-SA"/>
        </w:rPr>
        <w:t xml:space="preserve">各有关单位要提高政治站位，充分认识开展农村客货邮融合发展工作的重要性，按照工作目标及主要任务，全面统筹谋划，组织实施和重点攻坚，组建专班队伍，负责持续跟踪推进，确保工作有序有效开展。 </w:t>
      </w:r>
    </w:p>
    <w:p w14:paraId="56824D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（二）加强沟通协作。</w:t>
      </w:r>
      <w:r>
        <w:rPr>
          <w:rFonts w:hint="eastAsia" w:ascii="仿宋_GB2312" w:hAnsi="仿宋_GB2312" w:eastAsia="仿宋_GB2312" w:cs="仿宋_GB2312"/>
          <w:b w:val="0"/>
          <w:bCs w:val="0"/>
          <w:color w:val="auto"/>
          <w:kern w:val="2"/>
          <w:sz w:val="32"/>
          <w:szCs w:val="32"/>
          <w:lang w:val="en-US" w:eastAsia="zh-CN" w:bidi="ar-SA"/>
        </w:rPr>
        <w:t>各单位要加强沟通协作，针对工作过程中存在的问题，采取措施予以解决。重点、难点问题及时提交联席会议研究解决。</w:t>
      </w:r>
    </w:p>
    <w:p w14:paraId="234C729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（三）建立长效机制。</w:t>
      </w:r>
      <w:r>
        <w:rPr>
          <w:rFonts w:hint="eastAsia" w:ascii="仿宋_GB2312" w:hAnsi="仿宋_GB2312" w:eastAsia="仿宋_GB2312" w:cs="仿宋_GB2312"/>
          <w:b w:val="0"/>
          <w:bCs w:val="0"/>
          <w:color w:val="auto"/>
          <w:kern w:val="2"/>
          <w:sz w:val="32"/>
          <w:szCs w:val="32"/>
          <w:lang w:val="en-US" w:eastAsia="zh-CN" w:bidi="ar-SA"/>
        </w:rPr>
        <w:t>各有关部门要建立长效机制，结合工作责任，完善日常监管机制，常态化部署开展日常工作，及时发现问题并逐一整改落实。</w:t>
      </w:r>
    </w:p>
    <w:p w14:paraId="53E372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（四）落实运营成效。</w:t>
      </w:r>
      <w:r>
        <w:rPr>
          <w:rFonts w:hint="eastAsia" w:ascii="仿宋_GB2312" w:hAnsi="仿宋_GB2312" w:eastAsia="仿宋_GB2312" w:cs="仿宋_GB2312"/>
          <w:b w:val="0"/>
          <w:bCs w:val="0"/>
          <w:color w:val="auto"/>
          <w:kern w:val="2"/>
          <w:sz w:val="32"/>
          <w:szCs w:val="32"/>
          <w:lang w:val="en-US" w:eastAsia="zh-CN" w:bidi="ar-SA"/>
        </w:rPr>
        <w:t xml:space="preserve">建立客货邮融合发展综合评价体系，定期对各责任单位工作推进情况、任务完成质量及资金使用效益进行评价，评价结果与资金补助额度相挂钩。  </w:t>
      </w:r>
    </w:p>
    <w:p w14:paraId="5BA7A4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（五）加强宣传引导。</w:t>
      </w:r>
      <w:r>
        <w:rPr>
          <w:rFonts w:hint="eastAsia" w:ascii="仿宋_GB2312" w:hAnsi="仿宋_GB2312" w:eastAsia="仿宋_GB2312" w:cs="仿宋_GB2312"/>
          <w:b w:val="0"/>
          <w:bCs w:val="0"/>
          <w:color w:val="auto"/>
          <w:kern w:val="2"/>
          <w:sz w:val="32"/>
          <w:szCs w:val="32"/>
          <w:lang w:val="en-US" w:eastAsia="zh-CN" w:bidi="ar-SA"/>
        </w:rPr>
        <w:t>通过政府门户网站、社交媒体、村社公告栏等渠道，广泛宣传客货邮融合发展政策措施、典型案例及服务成效，提高群众知晓率和参与度，营造全社会共同支持农村运输服务体系建设的良好氛围。</w:t>
      </w:r>
    </w:p>
    <w:p w14:paraId="59150C05">
      <w:pPr>
        <w:numPr>
          <w:ilvl w:val="0"/>
          <w:numId w:val="0"/>
        </w:numPr>
        <w:spacing w:line="600" w:lineRule="exact"/>
        <w:ind w:firstLine="960" w:firstLineChars="300"/>
        <w:jc w:val="left"/>
        <w:rPr>
          <w:rFonts w:hint="eastAsia"/>
          <w:lang w:val="en-US" w:eastAsia="zh-CN"/>
        </w:rPr>
      </w:pPr>
      <w:r>
        <w:rPr>
          <w:rFonts w:hint="eastAsia" w:ascii="仿宋_GB2312" w:hAnsi="仿宋_GB2312" w:eastAsia="仿宋_GB2312" w:cs="仿宋_GB2312"/>
          <w:b w:val="0"/>
          <w:bCs w:val="0"/>
          <w:color w:val="auto"/>
          <w:kern w:val="2"/>
          <w:sz w:val="32"/>
          <w:szCs w:val="32"/>
          <w:lang w:val="en-US" w:eastAsia="zh-CN" w:bidi="ar-SA"/>
        </w:rPr>
        <w:t>本方案由永泰县交通运输局负责解释，有效期至2030年12月31日，自印发之日起施行。运行期间如遇上级政策调整，以调整后的上级规定为准。</w:t>
      </w:r>
    </w:p>
    <w:p w14:paraId="031BE90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auto"/>
          <w:spacing w:val="-6"/>
          <w:sz w:val="32"/>
          <w:szCs w:val="32"/>
          <w:lang w:val="en-US" w:eastAsia="zh-CN"/>
        </w:rPr>
      </w:pPr>
    </w:p>
    <w:sectPr>
      <w:footerReference r:id="rId3" w:type="default"/>
      <w:pgSz w:w="11906" w:h="16838"/>
      <w:pgMar w:top="1440" w:right="1803" w:bottom="1440" w:left="1803"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45E26">
    <w:pPr>
      <w:pStyle w:val="5"/>
      <w:tabs>
        <w:tab w:val="left" w:pos="96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9FCF1">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A9FCF1">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wYzNlYWEyMzg4MjE3NDBhODQ5MzNlYzUyNTYyMmEifQ=="/>
    <w:docVar w:name="KSO_WPS_MARK_KEY" w:val="3d5427b5-8e2c-4451-a446-34c773ab0b0d"/>
  </w:docVars>
  <w:rsids>
    <w:rsidRoot w:val="00000000"/>
    <w:rsid w:val="004D383E"/>
    <w:rsid w:val="019957FB"/>
    <w:rsid w:val="02225B04"/>
    <w:rsid w:val="02DC0875"/>
    <w:rsid w:val="037E7A8A"/>
    <w:rsid w:val="03D3633B"/>
    <w:rsid w:val="04661B28"/>
    <w:rsid w:val="0490144A"/>
    <w:rsid w:val="04EE6E15"/>
    <w:rsid w:val="05543BC3"/>
    <w:rsid w:val="05E00657"/>
    <w:rsid w:val="05E75621"/>
    <w:rsid w:val="06611981"/>
    <w:rsid w:val="06805BDC"/>
    <w:rsid w:val="06F522E7"/>
    <w:rsid w:val="07396003"/>
    <w:rsid w:val="07D34F4B"/>
    <w:rsid w:val="07ED7BD5"/>
    <w:rsid w:val="09273129"/>
    <w:rsid w:val="096A567E"/>
    <w:rsid w:val="0A361578"/>
    <w:rsid w:val="0B537393"/>
    <w:rsid w:val="0B6809D6"/>
    <w:rsid w:val="0BDE027F"/>
    <w:rsid w:val="0BE9636F"/>
    <w:rsid w:val="0C554042"/>
    <w:rsid w:val="0CFA5AA8"/>
    <w:rsid w:val="0E620E5A"/>
    <w:rsid w:val="0E80561D"/>
    <w:rsid w:val="0FC248E9"/>
    <w:rsid w:val="10FE71F1"/>
    <w:rsid w:val="111B02EE"/>
    <w:rsid w:val="11B37311"/>
    <w:rsid w:val="123B30F3"/>
    <w:rsid w:val="12C04910"/>
    <w:rsid w:val="12D0675F"/>
    <w:rsid w:val="12D61B20"/>
    <w:rsid w:val="12E15889"/>
    <w:rsid w:val="141B1DA9"/>
    <w:rsid w:val="142C00EF"/>
    <w:rsid w:val="14B21A09"/>
    <w:rsid w:val="160857B0"/>
    <w:rsid w:val="164137C3"/>
    <w:rsid w:val="167368B3"/>
    <w:rsid w:val="17B45CEB"/>
    <w:rsid w:val="17BA2656"/>
    <w:rsid w:val="19604641"/>
    <w:rsid w:val="1B0C568A"/>
    <w:rsid w:val="1B89182B"/>
    <w:rsid w:val="1B8F30B4"/>
    <w:rsid w:val="1CE15AEC"/>
    <w:rsid w:val="1D095E37"/>
    <w:rsid w:val="1D857C8B"/>
    <w:rsid w:val="1DEA1774"/>
    <w:rsid w:val="1E05325B"/>
    <w:rsid w:val="1E283EA7"/>
    <w:rsid w:val="1E37674A"/>
    <w:rsid w:val="1EAE7B69"/>
    <w:rsid w:val="1F6954D6"/>
    <w:rsid w:val="1FD3376C"/>
    <w:rsid w:val="203B42C4"/>
    <w:rsid w:val="205C0912"/>
    <w:rsid w:val="20BC2C67"/>
    <w:rsid w:val="20D92A05"/>
    <w:rsid w:val="20DF1580"/>
    <w:rsid w:val="22135A09"/>
    <w:rsid w:val="222C7D4E"/>
    <w:rsid w:val="224F39BA"/>
    <w:rsid w:val="22F50DEE"/>
    <w:rsid w:val="23C61C57"/>
    <w:rsid w:val="24E640F7"/>
    <w:rsid w:val="25023E15"/>
    <w:rsid w:val="25575CD2"/>
    <w:rsid w:val="263C3D79"/>
    <w:rsid w:val="266628E4"/>
    <w:rsid w:val="29D2106C"/>
    <w:rsid w:val="2A180908"/>
    <w:rsid w:val="2A38348C"/>
    <w:rsid w:val="2A6754E2"/>
    <w:rsid w:val="2C8D3B70"/>
    <w:rsid w:val="2C986A10"/>
    <w:rsid w:val="2CCA0117"/>
    <w:rsid w:val="2D9F58B2"/>
    <w:rsid w:val="2DDA3F06"/>
    <w:rsid w:val="2E29494A"/>
    <w:rsid w:val="2F78489D"/>
    <w:rsid w:val="2FF64367"/>
    <w:rsid w:val="30A56631"/>
    <w:rsid w:val="30B12D43"/>
    <w:rsid w:val="30F71865"/>
    <w:rsid w:val="31562E36"/>
    <w:rsid w:val="31765173"/>
    <w:rsid w:val="330C0C50"/>
    <w:rsid w:val="33535FA3"/>
    <w:rsid w:val="339369F6"/>
    <w:rsid w:val="3462107E"/>
    <w:rsid w:val="34D2243C"/>
    <w:rsid w:val="35907484"/>
    <w:rsid w:val="35CF0E79"/>
    <w:rsid w:val="35DC7194"/>
    <w:rsid w:val="365E0D58"/>
    <w:rsid w:val="36E40671"/>
    <w:rsid w:val="371334BB"/>
    <w:rsid w:val="37972439"/>
    <w:rsid w:val="38331114"/>
    <w:rsid w:val="39126C7C"/>
    <w:rsid w:val="39191D3B"/>
    <w:rsid w:val="398B1E8B"/>
    <w:rsid w:val="39A00262"/>
    <w:rsid w:val="39F869D6"/>
    <w:rsid w:val="3A4A23B8"/>
    <w:rsid w:val="3A773B76"/>
    <w:rsid w:val="3B0C59EE"/>
    <w:rsid w:val="3CD53755"/>
    <w:rsid w:val="3D156D55"/>
    <w:rsid w:val="3D1A425E"/>
    <w:rsid w:val="3DD72411"/>
    <w:rsid w:val="3E1E1148"/>
    <w:rsid w:val="3E2B338D"/>
    <w:rsid w:val="3E3C2A11"/>
    <w:rsid w:val="3EA1480A"/>
    <w:rsid w:val="3FED6A94"/>
    <w:rsid w:val="4053741F"/>
    <w:rsid w:val="41A37A5E"/>
    <w:rsid w:val="41F53202"/>
    <w:rsid w:val="432E24D5"/>
    <w:rsid w:val="444B7FAA"/>
    <w:rsid w:val="445C045B"/>
    <w:rsid w:val="447C6C57"/>
    <w:rsid w:val="45DD385B"/>
    <w:rsid w:val="460646D8"/>
    <w:rsid w:val="46980C0F"/>
    <w:rsid w:val="497D4B07"/>
    <w:rsid w:val="4A025599"/>
    <w:rsid w:val="4A736DDA"/>
    <w:rsid w:val="4B400DAC"/>
    <w:rsid w:val="4B69636E"/>
    <w:rsid w:val="4BDF7E4A"/>
    <w:rsid w:val="4C313FC9"/>
    <w:rsid w:val="4C4B262E"/>
    <w:rsid w:val="4D332552"/>
    <w:rsid w:val="4E7B32F4"/>
    <w:rsid w:val="4F522FBB"/>
    <w:rsid w:val="4F686E9B"/>
    <w:rsid w:val="507F37FC"/>
    <w:rsid w:val="511353EE"/>
    <w:rsid w:val="51D64B35"/>
    <w:rsid w:val="52FD0FD1"/>
    <w:rsid w:val="534E64B0"/>
    <w:rsid w:val="536C2898"/>
    <w:rsid w:val="541F435D"/>
    <w:rsid w:val="54D36B5E"/>
    <w:rsid w:val="54FC48C4"/>
    <w:rsid w:val="57C9666F"/>
    <w:rsid w:val="59193FB6"/>
    <w:rsid w:val="5B2C5E55"/>
    <w:rsid w:val="5B72742B"/>
    <w:rsid w:val="5BB12F7A"/>
    <w:rsid w:val="5CAA2303"/>
    <w:rsid w:val="5E4D3654"/>
    <w:rsid w:val="5F4F2B94"/>
    <w:rsid w:val="5F6A7F41"/>
    <w:rsid w:val="611166DB"/>
    <w:rsid w:val="61840CD3"/>
    <w:rsid w:val="62517706"/>
    <w:rsid w:val="627C2353"/>
    <w:rsid w:val="62BF39EE"/>
    <w:rsid w:val="62ED4631"/>
    <w:rsid w:val="64557867"/>
    <w:rsid w:val="64FF3C11"/>
    <w:rsid w:val="65940021"/>
    <w:rsid w:val="678F238F"/>
    <w:rsid w:val="67D044D4"/>
    <w:rsid w:val="683C3E6C"/>
    <w:rsid w:val="683D310C"/>
    <w:rsid w:val="68E067D0"/>
    <w:rsid w:val="6A866AD5"/>
    <w:rsid w:val="6ADD6FCB"/>
    <w:rsid w:val="6AE65587"/>
    <w:rsid w:val="6B0F38D1"/>
    <w:rsid w:val="6B507820"/>
    <w:rsid w:val="6C41215C"/>
    <w:rsid w:val="6C8F19CC"/>
    <w:rsid w:val="6D4D0A17"/>
    <w:rsid w:val="6DD3712F"/>
    <w:rsid w:val="6E082B96"/>
    <w:rsid w:val="6E9736A0"/>
    <w:rsid w:val="6F1C3631"/>
    <w:rsid w:val="6F4E7030"/>
    <w:rsid w:val="713B44D8"/>
    <w:rsid w:val="74C6780B"/>
    <w:rsid w:val="75510453"/>
    <w:rsid w:val="77414CB8"/>
    <w:rsid w:val="774A2F83"/>
    <w:rsid w:val="788F15FB"/>
    <w:rsid w:val="78987E44"/>
    <w:rsid w:val="78E46EAA"/>
    <w:rsid w:val="79B51404"/>
    <w:rsid w:val="7A0B5E0D"/>
    <w:rsid w:val="7A581ED4"/>
    <w:rsid w:val="7C4144C4"/>
    <w:rsid w:val="7CF35303"/>
    <w:rsid w:val="7D050833"/>
    <w:rsid w:val="7D1A5C02"/>
    <w:rsid w:val="7EE26D13"/>
    <w:rsid w:val="7FE56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annotation text"/>
    <w:basedOn w:val="1"/>
    <w:qFormat/>
    <w:uiPriority w:val="0"/>
    <w:pPr>
      <w:jc w:val="left"/>
    </w:pPr>
  </w:style>
  <w:style w:type="paragraph" w:styleId="4">
    <w:name w:val="Balloon Text"/>
    <w:basedOn w:val="1"/>
    <w:semiHidden/>
    <w:qFormat/>
    <w:uiPriority w:val="0"/>
    <w:pPr>
      <w:ind w:firstLine="0" w:firstLineChars="0"/>
      <w:jc w:val="left"/>
    </w:pPr>
    <w:rPr>
      <w:rFonts w:ascii="Times New Roman" w:hAnsi="Times New Roman" w:cs="Times New Roman"/>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2"/>
    <w:qFormat/>
    <w:uiPriority w:val="0"/>
    <w:pPr>
      <w:spacing w:line="600" w:lineRule="exact"/>
      <w:ind w:firstLine="883" w:firstLineChars="200"/>
    </w:pPr>
    <w:rPr>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表格文字"/>
    <w:basedOn w:val="1"/>
    <w:qFormat/>
    <w:uiPriority w:val="0"/>
    <w:rPr>
      <w:bCs/>
      <w:spacing w:val="10"/>
    </w:rPr>
  </w:style>
  <w:style w:type="paragraph" w:customStyle="1" w:styleId="14">
    <w:name w:val="无间隔1"/>
    <w:basedOn w:val="1"/>
    <w:qFormat/>
    <w:uiPriority w:val="0"/>
    <w:pPr>
      <w:spacing w:line="400" w:lineRule="exact"/>
    </w:pPr>
    <w:rPr>
      <w:rFonts w:ascii="Times New Roman" w:hAnsi="Times New Roman"/>
      <w:sz w:val="24"/>
      <w:szCs w:val="20"/>
    </w:rPr>
  </w:style>
  <w:style w:type="character" w:customStyle="1" w:styleId="15">
    <w:name w:val="font21"/>
    <w:basedOn w:val="12"/>
    <w:qFormat/>
    <w:uiPriority w:val="0"/>
    <w:rPr>
      <w:rFonts w:hint="eastAsia" w:ascii="仿宋_GB2312" w:eastAsia="仿宋_GB2312" w:cs="仿宋_GB2312"/>
      <w:color w:val="000000"/>
      <w:sz w:val="24"/>
      <w:szCs w:val="24"/>
      <w:u w:val="none"/>
    </w:rPr>
  </w:style>
  <w:style w:type="character" w:customStyle="1" w:styleId="16">
    <w:name w:val="font31"/>
    <w:basedOn w:val="12"/>
    <w:qFormat/>
    <w:uiPriority w:val="0"/>
    <w:rPr>
      <w:rFonts w:hint="eastAsia" w:ascii="仿宋_GB2312" w:eastAsia="仿宋_GB2312" w:cs="仿宋_GB2312"/>
      <w:b/>
      <w:bCs/>
      <w:color w:val="000000"/>
      <w:sz w:val="24"/>
      <w:szCs w:val="24"/>
      <w:u w:val="none"/>
    </w:rPr>
  </w:style>
  <w:style w:type="character" w:customStyle="1" w:styleId="17">
    <w:name w:val="font11"/>
    <w:basedOn w:val="12"/>
    <w:qFormat/>
    <w:uiPriority w:val="0"/>
    <w:rPr>
      <w:rFonts w:hint="eastAsia" w:ascii="仿宋_GB2312" w:eastAsia="仿宋_GB2312" w:cs="仿宋_GB2312"/>
      <w:color w:val="000000"/>
      <w:sz w:val="24"/>
      <w:szCs w:val="24"/>
      <w:u w:val="none"/>
    </w:rPr>
  </w:style>
  <w:style w:type="character" w:customStyle="1" w:styleId="18">
    <w:name w:val="font01"/>
    <w:basedOn w:val="12"/>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3459</Words>
  <Characters>3533</Characters>
  <Lines>0</Lines>
  <Paragraphs>0</Paragraphs>
  <TotalTime>13</TotalTime>
  <ScaleCrop>false</ScaleCrop>
  <LinksUpToDate>false</LinksUpToDate>
  <CharactersWithSpaces>3543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王俊颖</cp:lastModifiedBy>
  <cp:lastPrinted>2026-06-09T09:14:00Z</cp:lastPrinted>
  <dcterms:modified xsi:type="dcterms:W3CDTF">2026-07-27T09:43:04Z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9C27B4F17633424C8E735A3A79B62AB5_13</vt:lpwstr>
  </property>
  <property fmtid="{D5CDD505-2E9C-101B-9397-08002B2CF9AE}" pid="4" name="KSOTemplateDocerSaveRecord">
    <vt:lpwstr>eyJoZGlkIjoiOTZmZjRiOTVmZTExMWU1MDI0YTNlMTVhMWRlNTRmODAiLCJ1c2VySWQiOiI0MDk1MjUyNjUifQ==</vt:lpwstr>
  </property>
</Properties>
</file>